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</w:p>
    <w:p w:rsidR="000A353C" w:rsidRPr="000A353C" w:rsidRDefault="000A353C" w:rsidP="000A353C">
      <w:pPr>
        <w:jc w:val="both"/>
        <w:rPr>
          <w:rFonts w:ascii="Calibri" w:hAnsi="Calibri" w:cs="Calibri"/>
          <w:b/>
          <w:szCs w:val="20"/>
        </w:rPr>
      </w:pPr>
      <w:bookmarkStart w:id="0" w:name="_GoBack"/>
      <w:bookmarkEnd w:id="0"/>
      <w:r w:rsidRPr="000A353C">
        <w:rPr>
          <w:rFonts w:ascii="Calibri" w:hAnsi="Calibri" w:cs="Calibri"/>
          <w:b/>
          <w:szCs w:val="20"/>
        </w:rPr>
        <w:t>125. DŘEŇOVÉ ÚTLUMY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 xml:space="preserve">dřeňový útlum – </w:t>
      </w:r>
      <w:r w:rsidRPr="00945281">
        <w:rPr>
          <w:rFonts w:ascii="Calibri" w:hAnsi="Calibri" w:cs="Calibri"/>
          <w:b/>
          <w:sz w:val="20"/>
          <w:szCs w:val="20"/>
        </w:rPr>
        <w:t>aplastická anémie</w:t>
      </w:r>
      <w:r w:rsidRPr="00945281">
        <w:rPr>
          <w:rFonts w:ascii="Calibri" w:hAnsi="Calibri" w:cs="Calibri"/>
          <w:sz w:val="20"/>
          <w:szCs w:val="20"/>
        </w:rPr>
        <w:t xml:space="preserve"> (aplastická pancytopenie)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 w:rsidRPr="00C244AB">
        <w:rPr>
          <w:rFonts w:ascii="Calibri" w:hAnsi="Calibri" w:cs="Calibri"/>
          <w:b/>
          <w:sz w:val="20"/>
          <w:szCs w:val="20"/>
        </w:rPr>
        <w:t>etiologie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idiopatická aplastická anémie (40 – 70%)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C244AB">
        <w:rPr>
          <w:rFonts w:ascii="Calibri" w:hAnsi="Calibri" w:cs="Calibri"/>
          <w:sz w:val="20"/>
          <w:szCs w:val="20"/>
          <w:u w:val="single"/>
        </w:rPr>
        <w:t>léky</w:t>
      </w:r>
      <w:r w:rsidRPr="00945281">
        <w:rPr>
          <w:rFonts w:ascii="Calibri" w:hAnsi="Calibri" w:cs="Calibri"/>
          <w:sz w:val="20"/>
          <w:szCs w:val="20"/>
        </w:rPr>
        <w:t>: chloramfenikol (20 – 25%), phenylbutazon (NSA) (5%), sulfonamidy (2%) a jiné (5%)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chemické látky (5 – 10%)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C244AB">
        <w:rPr>
          <w:rFonts w:ascii="Calibri" w:hAnsi="Calibri" w:cs="Calibri"/>
          <w:sz w:val="20"/>
          <w:szCs w:val="20"/>
          <w:u w:val="single"/>
        </w:rPr>
        <w:t>infekce</w:t>
      </w:r>
      <w:r w:rsidRPr="00945281">
        <w:rPr>
          <w:rFonts w:ascii="Calibri" w:hAnsi="Calibri" w:cs="Calibri"/>
          <w:sz w:val="20"/>
          <w:szCs w:val="20"/>
        </w:rPr>
        <w:t xml:space="preserve"> (1 – 3%)</w:t>
      </w:r>
      <w:r>
        <w:rPr>
          <w:rFonts w:ascii="Calibri" w:hAnsi="Calibri" w:cs="Calibri"/>
          <w:sz w:val="20"/>
          <w:szCs w:val="20"/>
        </w:rPr>
        <w:t>- hepatitida, EBV, parvovirus, HIV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ostatní vyvolávající faktory: ionizující záření, chemoterapeutika (15 – 20%)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  <w:t xml:space="preserve"> </w:t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ionizující záření</w:t>
      </w:r>
      <w:r w:rsidRPr="00945281">
        <w:rPr>
          <w:rFonts w:ascii="Calibri" w:hAnsi="Calibri" w:cs="Calibri"/>
          <w:sz w:val="20"/>
          <w:szCs w:val="20"/>
        </w:rPr>
        <w:t xml:space="preserve"> – při celotělové expozici dávce 1,3 – 2,4 Gy je aplazie reverzibilní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     </w:t>
      </w:r>
      <w:r w:rsidRPr="00945281">
        <w:rPr>
          <w:rFonts w:ascii="Calibri" w:hAnsi="Calibri" w:cs="Calibri"/>
          <w:sz w:val="20"/>
          <w:szCs w:val="20"/>
        </w:rPr>
        <w:t xml:space="preserve"> při dávce 2,5 Gy a více je poškození nevratné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  <w:t xml:space="preserve"> </w:t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chemoterapeutika</w:t>
      </w:r>
      <w:r w:rsidRPr="00945281">
        <w:rPr>
          <w:rFonts w:ascii="Calibri" w:hAnsi="Calibri" w:cs="Calibri"/>
          <w:sz w:val="20"/>
          <w:szCs w:val="20"/>
        </w:rPr>
        <w:t xml:space="preserve"> (cytostatika) – po odeznění účinku dochází k obnovení krvetvorby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C244AB">
        <w:rPr>
          <w:rFonts w:ascii="Calibri" w:hAnsi="Calibri" w:cs="Calibri"/>
          <w:sz w:val="20"/>
          <w:szCs w:val="20"/>
          <w:u w:val="single"/>
        </w:rPr>
        <w:t>myelotoxicita chemických látek</w:t>
      </w:r>
      <w:r w:rsidRPr="00945281">
        <w:rPr>
          <w:rFonts w:ascii="Calibri" w:hAnsi="Calibri" w:cs="Calibri"/>
          <w:sz w:val="20"/>
          <w:szCs w:val="20"/>
        </w:rPr>
        <w:t>: benzeny (benzol, xylol, toluol), pesticidy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 w:rsidRPr="00C244AB">
        <w:rPr>
          <w:rFonts w:ascii="Calibri" w:hAnsi="Calibri" w:cs="Calibri"/>
          <w:b/>
          <w:sz w:val="20"/>
          <w:szCs w:val="20"/>
        </w:rPr>
        <w:t>patogenez</w:t>
      </w:r>
      <w:r>
        <w:rPr>
          <w:rFonts w:ascii="Calibri" w:hAnsi="Calibri" w:cs="Calibri"/>
          <w:b/>
          <w:sz w:val="20"/>
          <w:szCs w:val="20"/>
        </w:rPr>
        <w:t>e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uplatňují se různé mechanismy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přímé toxické poškození kmenové krvetvorné buňky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indukce apoptózy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apoptóza může být aktivována také imunologickými mechanismy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viry a chemické látky – přímé toxické působení na DNA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chemické látky mohou také jako hapteny aktivovat imunitní mechanismy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ionizují záření – porušuje chemické vazby, indukuje tvorby volných hydroxylových radikálů (iniciace peroxidativního štěpení lipidů)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významnou úlohu hraje i poškození hematopoetického stromatu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klinický obraz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 každém věku, postihuje stejně muže i ženy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0A353C" w:rsidRDefault="000A353C" w:rsidP="000A353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akutně</w:t>
      </w:r>
      <w:r w:rsidRPr="00945281">
        <w:rPr>
          <w:rFonts w:ascii="Calibri" w:hAnsi="Calibri" w:cs="Calibri"/>
          <w:sz w:val="20"/>
          <w:szCs w:val="20"/>
        </w:rPr>
        <w:t xml:space="preserve"> vzniklý dřeňový útlum: infekční a krvácivé projevy na podkladě agranulocytózy a trombocytopenie – septické horečky, nekrotizující stomatitida, kožní a slizniční krvácení, epistaxe, gynekologické krvácení</w:t>
      </w:r>
    </w:p>
    <w:p w:rsidR="000A353C" w:rsidRDefault="000A353C" w:rsidP="000A353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chronická</w:t>
      </w:r>
      <w:r w:rsidRPr="00945281">
        <w:rPr>
          <w:rFonts w:ascii="Calibri" w:hAnsi="Calibri" w:cs="Calibri"/>
          <w:sz w:val="20"/>
          <w:szCs w:val="20"/>
        </w:rPr>
        <w:t xml:space="preserve"> forma: příznaky méně vyjádřeny – horečka, známky krvácení, výraznější projevy anémie (bledost, únava, bolesti hlavy)</w:t>
      </w:r>
    </w:p>
    <w:p w:rsidR="000A353C" w:rsidRPr="00455204" w:rsidRDefault="000A353C" w:rsidP="000A353C">
      <w:pPr>
        <w:rPr>
          <w:rFonts w:ascii="Calibri" w:hAnsi="Calibri" w:cs="Calibri"/>
          <w:b/>
          <w:sz w:val="20"/>
          <w:szCs w:val="20"/>
        </w:rPr>
      </w:pPr>
      <w:r w:rsidRPr="00455204">
        <w:rPr>
          <w:rFonts w:ascii="Calibri" w:hAnsi="Calibri" w:cs="Calibri"/>
          <w:b/>
          <w:sz w:val="20"/>
          <w:szCs w:val="20"/>
        </w:rPr>
        <w:t>laboratorní vyšetření</w:t>
      </w:r>
    </w:p>
    <w:p w:rsidR="000A353C" w:rsidRPr="00945281" w:rsidRDefault="000A353C" w:rsidP="000A353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těžká aplastická anémie: buněčnost kostní dřeně pod 30% normy, současně alespoň 2 z kritérií v periferním krevním obrazu:</w:t>
      </w:r>
    </w:p>
    <w:p w:rsidR="000A353C" w:rsidRPr="00945281" w:rsidRDefault="000A353C" w:rsidP="000A353C">
      <w:pPr>
        <w:numPr>
          <w:ilvl w:val="2"/>
          <w:numId w:val="1"/>
        </w:numPr>
        <w:tabs>
          <w:tab w:val="clear" w:pos="1800"/>
          <w:tab w:val="num" w:pos="1620"/>
        </w:tabs>
        <w:ind w:left="162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 xml:space="preserve">počet retikulocytů </w:t>
      </w:r>
      <w:r w:rsidRPr="00945281">
        <w:rPr>
          <w:rFonts w:ascii="Calibri" w:hAnsi="Calibri" w:cs="Calibri"/>
          <w:sz w:val="20"/>
          <w:szCs w:val="20"/>
        </w:rPr>
        <w:sym w:font="Symbol" w:char="F03C"/>
      </w:r>
      <w:r w:rsidRPr="00945281">
        <w:rPr>
          <w:rFonts w:ascii="Calibri" w:hAnsi="Calibri" w:cs="Calibri"/>
          <w:sz w:val="20"/>
          <w:szCs w:val="20"/>
        </w:rPr>
        <w:t xml:space="preserve"> 0,1% nebo 4*10</w:t>
      </w:r>
      <w:r w:rsidRPr="00945281">
        <w:rPr>
          <w:rFonts w:ascii="Calibri" w:hAnsi="Calibri" w:cs="Calibri"/>
          <w:sz w:val="20"/>
          <w:szCs w:val="20"/>
          <w:vertAlign w:val="superscript"/>
        </w:rPr>
        <w:t>9</w:t>
      </w:r>
      <w:r w:rsidRPr="00945281">
        <w:rPr>
          <w:rFonts w:ascii="Calibri" w:hAnsi="Calibri" w:cs="Calibri"/>
          <w:sz w:val="20"/>
          <w:szCs w:val="20"/>
        </w:rPr>
        <w:t>/l</w:t>
      </w:r>
    </w:p>
    <w:p w:rsidR="000A353C" w:rsidRPr="00945281" w:rsidRDefault="000A353C" w:rsidP="000A353C">
      <w:pPr>
        <w:numPr>
          <w:ilvl w:val="2"/>
          <w:numId w:val="1"/>
        </w:numPr>
        <w:tabs>
          <w:tab w:val="clear" w:pos="1800"/>
          <w:tab w:val="num" w:pos="1620"/>
        </w:tabs>
        <w:ind w:left="162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 xml:space="preserve">počet neutrofilních segmentů </w:t>
      </w:r>
      <w:r w:rsidRPr="00945281">
        <w:rPr>
          <w:rFonts w:ascii="Calibri" w:hAnsi="Calibri" w:cs="Calibri"/>
          <w:sz w:val="20"/>
          <w:szCs w:val="20"/>
        </w:rPr>
        <w:sym w:font="Symbol" w:char="F03C"/>
      </w:r>
      <w:r w:rsidRPr="00945281">
        <w:rPr>
          <w:rFonts w:ascii="Calibri" w:hAnsi="Calibri" w:cs="Calibri"/>
          <w:sz w:val="20"/>
          <w:szCs w:val="20"/>
        </w:rPr>
        <w:t xml:space="preserve"> 0,5*10</w:t>
      </w:r>
      <w:r w:rsidRPr="00945281">
        <w:rPr>
          <w:rFonts w:ascii="Calibri" w:hAnsi="Calibri" w:cs="Calibri"/>
          <w:sz w:val="20"/>
          <w:szCs w:val="20"/>
          <w:vertAlign w:val="superscript"/>
        </w:rPr>
        <w:t>9</w:t>
      </w:r>
      <w:r w:rsidRPr="00945281">
        <w:rPr>
          <w:rFonts w:ascii="Calibri" w:hAnsi="Calibri" w:cs="Calibri"/>
          <w:sz w:val="20"/>
          <w:szCs w:val="20"/>
        </w:rPr>
        <w:t>/l</w:t>
      </w:r>
    </w:p>
    <w:p w:rsidR="000A353C" w:rsidRDefault="000A353C" w:rsidP="000A353C">
      <w:pPr>
        <w:numPr>
          <w:ilvl w:val="2"/>
          <w:numId w:val="1"/>
        </w:numPr>
        <w:tabs>
          <w:tab w:val="clear" w:pos="1800"/>
          <w:tab w:val="num" w:pos="1620"/>
        </w:tabs>
        <w:ind w:left="162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 xml:space="preserve">počet trombocytů </w:t>
      </w:r>
      <w:r w:rsidRPr="00945281">
        <w:rPr>
          <w:rFonts w:ascii="Calibri" w:hAnsi="Calibri" w:cs="Calibri"/>
          <w:sz w:val="20"/>
          <w:szCs w:val="20"/>
        </w:rPr>
        <w:sym w:font="Symbol" w:char="F03C"/>
      </w:r>
      <w:r w:rsidRPr="00945281">
        <w:rPr>
          <w:rFonts w:ascii="Calibri" w:hAnsi="Calibri" w:cs="Calibri"/>
          <w:sz w:val="20"/>
          <w:szCs w:val="20"/>
        </w:rPr>
        <w:t xml:space="preserve"> 20*10</w:t>
      </w:r>
      <w:r w:rsidRPr="00945281">
        <w:rPr>
          <w:rFonts w:ascii="Calibri" w:hAnsi="Calibri" w:cs="Calibri"/>
          <w:sz w:val="20"/>
          <w:szCs w:val="20"/>
          <w:vertAlign w:val="superscript"/>
        </w:rPr>
        <w:t>9</w:t>
      </w:r>
      <w:r w:rsidRPr="00945281">
        <w:rPr>
          <w:rFonts w:ascii="Calibri" w:hAnsi="Calibri" w:cs="Calibri"/>
          <w:sz w:val="20"/>
          <w:szCs w:val="20"/>
        </w:rPr>
        <w:t>/l</w:t>
      </w:r>
    </w:p>
    <w:p w:rsidR="000A353C" w:rsidRPr="00455204" w:rsidRDefault="000A353C" w:rsidP="000A353C">
      <w:pPr>
        <w:ind w:left="1620"/>
        <w:jc w:val="both"/>
        <w:rPr>
          <w:rFonts w:ascii="Calibri" w:hAnsi="Calibri" w:cs="Calibri"/>
          <w:sz w:val="20"/>
          <w:szCs w:val="20"/>
        </w:rPr>
      </w:pPr>
      <w:r w:rsidRPr="00455204">
        <w:rPr>
          <w:rFonts w:ascii="Calibri" w:hAnsi="Calibri" w:cs="Calibri"/>
          <w:sz w:val="20"/>
          <w:szCs w:val="20"/>
        </w:rPr>
        <w:t>středně těžká aplastická anémie: pancytopenie nesplňující kritéria pro těžkou aplastickou anémii při současném vyloučení jiné choroby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anémie je většinou </w:t>
      </w:r>
      <w:r w:rsidRPr="00945281">
        <w:rPr>
          <w:rFonts w:ascii="Calibri" w:hAnsi="Calibri" w:cs="Calibri"/>
          <w:b/>
          <w:sz w:val="20"/>
          <w:szCs w:val="20"/>
        </w:rPr>
        <w:t>makrocytární</w:t>
      </w:r>
      <w:r w:rsidRPr="00945281">
        <w:rPr>
          <w:rFonts w:ascii="Calibri" w:hAnsi="Calibri" w:cs="Calibri"/>
          <w:sz w:val="20"/>
          <w:szCs w:val="20"/>
        </w:rPr>
        <w:t xml:space="preserve"> s MCV </w:t>
      </w:r>
      <w:r w:rsidRPr="00945281">
        <w:rPr>
          <w:rFonts w:ascii="Calibri" w:hAnsi="Calibri" w:cs="Calibri"/>
          <w:sz w:val="20"/>
          <w:szCs w:val="20"/>
        </w:rPr>
        <w:sym w:font="Symbol" w:char="F03E"/>
      </w:r>
      <w:r w:rsidRPr="00945281">
        <w:rPr>
          <w:rFonts w:ascii="Calibri" w:hAnsi="Calibri" w:cs="Calibri"/>
          <w:sz w:val="20"/>
          <w:szCs w:val="20"/>
        </w:rPr>
        <w:t xml:space="preserve"> 100 fl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 diferenciálním rozpočtu převažují lymfocyty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při těžké leukopenii je i absolutní lymfocytopenie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455204">
        <w:rPr>
          <w:rFonts w:ascii="Calibri" w:hAnsi="Calibri" w:cs="Calibri"/>
          <w:sz w:val="20"/>
          <w:szCs w:val="20"/>
        </w:rPr>
        <w:t>sternální punktát, trepanobioptický vzorek kostní dřeně – snížení celularity v tukové dřeni, mohou být četnější buňky monocyto-makrofágového systému, plazmocyty nebo tkáňové bazofily, někdy lymfocytóza (nemá klonální charakter)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kultivace dřeňových buněk in vitro – nulový růst prekurzorů granulopoézy a erytropoézy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 w:rsidRPr="00455204">
        <w:rPr>
          <w:rFonts w:ascii="Calibri" w:hAnsi="Calibri" w:cs="Calibri"/>
          <w:i/>
          <w:sz w:val="20"/>
          <w:szCs w:val="20"/>
        </w:rPr>
        <w:t>diferenciální diagnóza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hypoplastická forma MDS – nemocní s aplastickou anémií nemají ve sternálním punktátu výraznější morfologické ani cytochemické dysplastické změny a nejsou přítomny změny karyotypu</w:t>
      </w:r>
      <w:r>
        <w:rPr>
          <w:rFonts w:ascii="Calibri" w:hAnsi="Calibri" w:cs="Calibri"/>
          <w:sz w:val="20"/>
          <w:szCs w:val="20"/>
        </w:rPr>
        <w:t>, eventuelně zmnožení počtu blastů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ve čtvrtině případů může útlum krvetvorby postupně přejít do MDS nebo PNH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teorie o společném patogenetickém mechanismu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PNH – deficit některých povrchových antigenů erytrocytů, granulocytů a monocytů, intravaskulární hemolýza s</w:t>
      </w:r>
      <w:r>
        <w:rPr>
          <w:rFonts w:ascii="Calibri" w:hAnsi="Calibri" w:cs="Calibri"/>
          <w:sz w:val="20"/>
          <w:szCs w:val="20"/>
        </w:rPr>
        <w:t> </w:t>
      </w:r>
      <w:r w:rsidRPr="00945281">
        <w:rPr>
          <w:rFonts w:ascii="Calibri" w:hAnsi="Calibri" w:cs="Calibri"/>
          <w:sz w:val="20"/>
          <w:szCs w:val="20"/>
        </w:rPr>
        <w:t>hemoglobinurií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do obrazu útlumu krvetvorby nepatří ani přítomnost fibrózy v kostní dřeni a splenomegalie (jsou u myelofibrózy)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hypoplastická forma akutní leukémie – většinou pro dif. dg nutná charakteristika buněk průtokovou cytometrií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ab/>
      </w:r>
      <w:r w:rsidRPr="00945281">
        <w:rPr>
          <w:rFonts w:ascii="Calibri" w:hAnsi="Calibri" w:cs="Calibri"/>
          <w:sz w:val="20"/>
          <w:szCs w:val="20"/>
        </w:rPr>
        <w:t>Fanconiho anémie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trichocelulární leukémie – vlasaté buňky s pozitivní reakcí na tartarát rezistentní kyselou fosfatázu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infiltrace dřeně metastázami ca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 ověření nálezu nutné trepanobioptické vyšetření kostní dřeně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vzácně projev diseminované TBC, legionelóza, těžká hypotyreóza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terapie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transplantace krvetvorných buněk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indikována u mladších nemocných s těžkou formou aplastické anémie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medián přežití u těchto nemocných při podpůrné léčbě: 3 – 6 měsíců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nejlepší výsledky při časné allogenní transplantaci od HLA identického příbuzného dárce – 3 roky bez známek choroby přežívá </w:t>
      </w:r>
      <w:r>
        <w:rPr>
          <w:rFonts w:ascii="Calibri" w:hAnsi="Calibri" w:cs="Calibri"/>
          <w:sz w:val="20"/>
          <w:szCs w:val="20"/>
        </w:rPr>
        <w:t>8</w:t>
      </w:r>
      <w:r w:rsidRPr="00945281">
        <w:rPr>
          <w:rFonts w:ascii="Calibri" w:hAnsi="Calibri" w:cs="Calibri"/>
          <w:sz w:val="20"/>
          <w:szCs w:val="20"/>
        </w:rPr>
        <w:t>0 – 90%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transplantace od HLA shodného nepříbuzného dárce – dlouhodobé přežití </w:t>
      </w:r>
      <w:r>
        <w:rPr>
          <w:rFonts w:ascii="Calibri" w:hAnsi="Calibri" w:cs="Calibri"/>
          <w:sz w:val="20"/>
          <w:szCs w:val="20"/>
        </w:rPr>
        <w:t>6</w:t>
      </w:r>
      <w:r w:rsidRPr="00945281">
        <w:rPr>
          <w:rFonts w:ascii="Calibri" w:hAnsi="Calibri" w:cs="Calibri"/>
          <w:sz w:val="20"/>
          <w:szCs w:val="20"/>
        </w:rPr>
        <w:t xml:space="preserve">0 – </w:t>
      </w:r>
      <w:r>
        <w:rPr>
          <w:rFonts w:ascii="Calibri" w:hAnsi="Calibri" w:cs="Calibri"/>
          <w:sz w:val="20"/>
          <w:szCs w:val="20"/>
        </w:rPr>
        <w:t>7</w:t>
      </w:r>
      <w:r w:rsidRPr="00945281">
        <w:rPr>
          <w:rFonts w:ascii="Calibri" w:hAnsi="Calibri" w:cs="Calibri"/>
          <w:sz w:val="20"/>
          <w:szCs w:val="20"/>
        </w:rPr>
        <w:t>0% nemocných, ale indikuje se až po neúspěchu léčby antithymocytárním globulinem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výsledek transplantace může být nepříznivě ovlivněn opakovaným podáváním transfuzí, které vedou k přetížení železem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kombinovaná imunosuprese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antithymocytární globulin</w:t>
      </w:r>
      <w:r w:rsidRPr="00945281">
        <w:rPr>
          <w:rFonts w:ascii="Calibri" w:hAnsi="Calibri" w:cs="Calibri"/>
          <w:sz w:val="20"/>
          <w:szCs w:val="20"/>
        </w:rPr>
        <w:t xml:space="preserve"> (ATG) spolu s </w:t>
      </w:r>
      <w:r w:rsidRPr="00945281">
        <w:rPr>
          <w:rFonts w:ascii="Calibri" w:hAnsi="Calibri" w:cs="Calibri"/>
          <w:b/>
          <w:sz w:val="20"/>
          <w:szCs w:val="20"/>
        </w:rPr>
        <w:t>methylprednisolonem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následné podávání </w:t>
      </w:r>
      <w:r w:rsidRPr="00945281">
        <w:rPr>
          <w:rFonts w:ascii="Calibri" w:hAnsi="Calibri" w:cs="Calibri"/>
          <w:b/>
          <w:sz w:val="20"/>
          <w:szCs w:val="20"/>
        </w:rPr>
        <w:t>ciklosporinu</w:t>
      </w:r>
      <w:r w:rsidRPr="00945281">
        <w:rPr>
          <w:rFonts w:ascii="Calibri" w:hAnsi="Calibri" w:cs="Calibri"/>
          <w:sz w:val="20"/>
          <w:szCs w:val="20"/>
        </w:rPr>
        <w:t xml:space="preserve"> – nejméně po dobu 6 měsíců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kombinovaná imunosuprese má efekt u 60 – 70% nemocných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starších nemocných výsledky srovnatelné s</w:t>
      </w:r>
      <w:r>
        <w:rPr>
          <w:rFonts w:ascii="Calibri" w:hAnsi="Calibri" w:cs="Calibri"/>
          <w:sz w:val="20"/>
          <w:szCs w:val="20"/>
        </w:rPr>
        <w:t> </w:t>
      </w:r>
      <w:r w:rsidRPr="00945281">
        <w:rPr>
          <w:rFonts w:ascii="Calibri" w:hAnsi="Calibri" w:cs="Calibri"/>
          <w:sz w:val="20"/>
          <w:szCs w:val="20"/>
        </w:rPr>
        <w:t>transplantací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lékem třetí řady je dnes podávání </w:t>
      </w:r>
      <w:r w:rsidRPr="00945281">
        <w:rPr>
          <w:rFonts w:ascii="Calibri" w:hAnsi="Calibri" w:cs="Calibri"/>
          <w:b/>
          <w:sz w:val="20"/>
          <w:szCs w:val="20"/>
        </w:rPr>
        <w:t>androgenů</w:t>
      </w:r>
      <w:r w:rsidRPr="00945281">
        <w:rPr>
          <w:rFonts w:ascii="Calibri" w:hAnsi="Calibri" w:cs="Calibri"/>
          <w:sz w:val="20"/>
          <w:szCs w:val="20"/>
        </w:rPr>
        <w:t xml:space="preserve"> – efekt u středně těžkých forem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podpůrná léčba</w:t>
      </w:r>
      <w:r w:rsidRPr="00945281">
        <w:rPr>
          <w:rFonts w:ascii="Calibri" w:hAnsi="Calibri" w:cs="Calibri"/>
          <w:sz w:val="20"/>
          <w:szCs w:val="20"/>
        </w:rPr>
        <w:t xml:space="preserve"> – podávání deleukotizovaných transfuzí erytrocytů a trombocytů, i.v. ATB, antimykotika, virostatika a Ig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pro účinné podávání </w:t>
      </w:r>
      <w:r w:rsidRPr="00945281">
        <w:rPr>
          <w:rFonts w:ascii="Calibri" w:hAnsi="Calibri" w:cs="Calibri"/>
          <w:b/>
          <w:sz w:val="20"/>
          <w:szCs w:val="20"/>
        </w:rPr>
        <w:t>růstových faktorů</w:t>
      </w:r>
      <w:r w:rsidRPr="00945281">
        <w:rPr>
          <w:rFonts w:ascii="Calibri" w:hAnsi="Calibri" w:cs="Calibri"/>
          <w:sz w:val="20"/>
          <w:szCs w:val="20"/>
        </w:rPr>
        <w:t xml:space="preserve"> (G-CSF, erytropoetin) je nutným předpokladem zachování alespoň zbytkové krvetvorby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komplikace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komplikace léčby: úmrtí v akutní fázi na sepsi nebo krvácení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úmrtí na peritransplantační komplikace (zejména při akutní GVHR)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cca 35% relaps – častěji po kombinované imunosupresi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10% rozvoj PNH, u 15% vzniká obraz MDS s možným vývojem akutní leukémie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po transplantaci byl popsán i zvýšený výskyt solidních nádorů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</w:p>
    <w:p w:rsidR="000A353C" w:rsidRPr="001D2184" w:rsidRDefault="000A353C" w:rsidP="000A353C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1D2184">
        <w:rPr>
          <w:rFonts w:ascii="Calibri" w:hAnsi="Calibri" w:cs="Calibri"/>
          <w:b/>
          <w:i/>
          <w:sz w:val="20"/>
          <w:szCs w:val="20"/>
          <w:u w:val="single"/>
        </w:rPr>
        <w:t>čistá aplazie červené řady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izolované chybění prekurzorů červené řady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normálně zachovalá granulopoéza a trombopoéza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etiologie a patogeneze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kongenitální forma – Diamondův-Blackfanův sy</w:t>
      </w:r>
      <w:r>
        <w:rPr>
          <w:rFonts w:ascii="Calibri" w:hAnsi="Calibri" w:cs="Calibri"/>
          <w:sz w:val="20"/>
          <w:szCs w:val="20"/>
        </w:rPr>
        <w:t>ndrom</w:t>
      </w:r>
      <w:r w:rsidRPr="00945281">
        <w:rPr>
          <w:rFonts w:ascii="Calibri" w:hAnsi="Calibri" w:cs="Calibri"/>
          <w:sz w:val="20"/>
          <w:szCs w:val="20"/>
        </w:rPr>
        <w:t xml:space="preserve"> – mutace tzv. DBA genu na chromozomu 19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defektní odpověď na induktory erytroidní diferenciace, abnormální aktivace apoptózy erytroidních prekurzorů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získaná forma – může být idiopatická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akutní formy vznikají nejčastěji v souvislosti s virovou infekcí (parvovirus B 19, EBV, virus hepatitidy)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 10 – 15% je aplazie červené řady sdružená s thymomem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může doprovázet solidní nebo hematologické nádory (zejména chronické lymfoproliferace) nebo systémová onemocnění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důležitá úloha imunitních mechanismů – vedou k aktivaci T</w:t>
      </w:r>
      <w:r w:rsidRPr="00945281">
        <w:rPr>
          <w:rFonts w:ascii="Calibri" w:hAnsi="Calibri" w:cs="Calibri"/>
          <w:sz w:val="20"/>
          <w:szCs w:val="20"/>
          <w:vertAlign w:val="subscript"/>
        </w:rPr>
        <w:t>C</w:t>
      </w:r>
      <w:r w:rsidRPr="00945281">
        <w:rPr>
          <w:rFonts w:ascii="Calibri" w:hAnsi="Calibri" w:cs="Calibri"/>
          <w:sz w:val="20"/>
          <w:szCs w:val="20"/>
        </w:rPr>
        <w:t>-lymfocytů, supresi krvetvorby T-lymfocyty a k tvorbě protilátek proti erytropoetinu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klinický obraz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akutní forma: dramatický pokles Hb – zejména pokud je kombinace s útlumem erytropoézy nebo s hyperhemolýzou při aplastické krizi po virovém infektu u nemocných s hemolytickými chorobami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chronická forma: pozvolný rozvoj anemických příznaků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laboratorní vyšetření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normocytární normochromní</w:t>
      </w:r>
      <w:r w:rsidRPr="00945281">
        <w:rPr>
          <w:rFonts w:ascii="Calibri" w:hAnsi="Calibri" w:cs="Calibri"/>
          <w:sz w:val="20"/>
          <w:szCs w:val="20"/>
        </w:rPr>
        <w:t xml:space="preserve"> anémie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pokles počtu retikulocytů pod 0,1%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normální počet leukocytů a trombocytů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 kostní dřeni chybějí prekurzory erytropoézy (</w:t>
      </w:r>
      <w:r w:rsidRPr="00945281">
        <w:rPr>
          <w:rFonts w:ascii="Calibri" w:hAnsi="Calibri" w:cs="Calibri"/>
          <w:sz w:val="20"/>
          <w:szCs w:val="20"/>
        </w:rPr>
        <w:sym w:font="Symbol" w:char="F03C"/>
      </w:r>
      <w:r w:rsidRPr="00945281">
        <w:rPr>
          <w:rFonts w:ascii="Calibri" w:hAnsi="Calibri" w:cs="Calibri"/>
          <w:sz w:val="20"/>
          <w:szCs w:val="20"/>
        </w:rPr>
        <w:t xml:space="preserve"> 0,5%) při  zachovalé granulopoéze a trombopoéze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ověření nálezu – trepanobiopsie dřeně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diferenciální diagnóza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MDS, aplastická anémie, myelofibróza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čisté aplazie červené řady nejsou změny karyotypu, v kostní dřeni není fibróza a koncentrace erytropoetinu v séru je výrazně zvýšená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terapie</w:t>
      </w:r>
    </w:p>
    <w:p w:rsidR="000A353C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imunosuprese – prednison, možná kombinace s cyklofosfamidem a ciclosporinem</w:t>
      </w:r>
      <w:r>
        <w:rPr>
          <w:rFonts w:ascii="Calibri" w:hAnsi="Calibri" w:cs="Calibri"/>
          <w:sz w:val="20"/>
          <w:szCs w:val="20"/>
        </w:rPr>
        <w:t xml:space="preserve"> A</w:t>
      </w:r>
      <w:r w:rsidRPr="00945281">
        <w:rPr>
          <w:rFonts w:ascii="Calibri" w:hAnsi="Calibri" w:cs="Calibri"/>
          <w:sz w:val="20"/>
          <w:szCs w:val="20"/>
        </w:rPr>
        <w:t xml:space="preserve"> – efekt cca u 70% nemocných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u dětí přichází u těžkých forem kromě imunosuprese i transplantace krvetvroných buněk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 xml:space="preserve">nemocní s thymomem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thymektomie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plazmaferéza, podávání ATG</w:t>
      </w:r>
    </w:p>
    <w:p w:rsidR="000A353C" w:rsidRPr="00945281" w:rsidRDefault="000A353C" w:rsidP="000A353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kongenitální formy rezistentní na imunosupresi je indikována transplantace krvetvorných buněk</w:t>
      </w:r>
    </w:p>
    <w:p w:rsidR="00C70860" w:rsidRDefault="000A353C"/>
    <w:sectPr w:rsidR="00C7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C0193"/>
    <w:multiLevelType w:val="hybridMultilevel"/>
    <w:tmpl w:val="EFC04924"/>
    <w:lvl w:ilvl="0" w:tplc="DE0AB3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E0AB36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3C"/>
    <w:rsid w:val="000A353C"/>
    <w:rsid w:val="006E4D21"/>
    <w:rsid w:val="00C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jancutka</dc:creator>
  <cp:lastModifiedBy>jancutka</cp:lastModifiedBy>
  <cp:revision>1</cp:revision>
  <dcterms:created xsi:type="dcterms:W3CDTF">2012-12-14T21:55:00Z</dcterms:created>
  <dcterms:modified xsi:type="dcterms:W3CDTF">2012-12-14T21:56:00Z</dcterms:modified>
</cp:coreProperties>
</file>